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C5BE5">
      <w:pPr>
        <w:spacing w:before="230" w:line="224" w:lineRule="auto"/>
        <w:ind w:left="159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29"/>
          <w:sz w:val="30"/>
          <w:szCs w:val="30"/>
        </w:rPr>
        <w:t>附件6</w:t>
      </w:r>
    </w:p>
    <w:p w14:paraId="6CDB2BFF">
      <w:pPr>
        <w:pStyle w:val="2"/>
        <w:spacing w:line="332" w:lineRule="auto"/>
      </w:pPr>
    </w:p>
    <w:p w14:paraId="5C93ADBE">
      <w:pPr>
        <w:pStyle w:val="2"/>
        <w:spacing w:line="333" w:lineRule="auto"/>
      </w:pPr>
    </w:p>
    <w:p w14:paraId="59773AA3">
      <w:pPr>
        <w:spacing w:before="149" w:line="287" w:lineRule="auto"/>
        <w:ind w:right="2040"/>
        <w:jc w:val="center"/>
        <w:outlineLvl w:val="0"/>
        <w:rPr>
          <w:rFonts w:ascii="黑体" w:hAnsi="黑体" w:eastAsia="黑体" w:cs="黑体"/>
          <w:sz w:val="46"/>
          <w:szCs w:val="46"/>
        </w:rPr>
      </w:pPr>
      <w:r>
        <w:rPr>
          <w:rFonts w:ascii="黑体" w:hAnsi="黑体" w:eastAsia="黑体" w:cs="黑体"/>
          <w:sz w:val="46"/>
          <w:szCs w:val="46"/>
        </w:rPr>
        <w:t>2023年度江永县夏层铺镇</w:t>
      </w:r>
      <w:r>
        <w:rPr>
          <w:rFonts w:hint="eastAsia" w:ascii="黑体" w:hAnsi="黑体" w:eastAsia="黑体" w:cs="黑体"/>
          <w:sz w:val="46"/>
          <w:szCs w:val="46"/>
          <w:lang w:eastAsia="zh-CN"/>
        </w:rPr>
        <w:t>冷水铺</w:t>
      </w:r>
      <w:r>
        <w:rPr>
          <w:rFonts w:ascii="黑体" w:hAnsi="黑体" w:eastAsia="黑体" w:cs="黑体"/>
          <w:sz w:val="46"/>
          <w:szCs w:val="46"/>
        </w:rPr>
        <w:t>中</w:t>
      </w:r>
      <w:r>
        <w:rPr>
          <w:rFonts w:hint="eastAsia" w:ascii="黑体" w:hAnsi="黑体" w:eastAsia="黑体" w:cs="黑体"/>
          <w:sz w:val="46"/>
          <w:szCs w:val="46"/>
          <w:lang w:eastAsia="zh-CN"/>
        </w:rPr>
        <w:t>心</w:t>
      </w:r>
      <w:r>
        <w:rPr>
          <w:rFonts w:ascii="黑体" w:hAnsi="黑体" w:eastAsia="黑体" w:cs="黑体"/>
          <w:sz w:val="46"/>
          <w:szCs w:val="46"/>
        </w:rPr>
        <w:t>幼儿园</w:t>
      </w:r>
      <w:r>
        <w:rPr>
          <w:rFonts w:ascii="黑体" w:hAnsi="黑体" w:eastAsia="黑体" w:cs="黑体"/>
          <w:spacing w:val="13"/>
          <w:sz w:val="46"/>
          <w:szCs w:val="46"/>
        </w:rPr>
        <w:t xml:space="preserve"> </w:t>
      </w:r>
      <w:r>
        <w:rPr>
          <w:rFonts w:ascii="黑体" w:hAnsi="黑体" w:eastAsia="黑体" w:cs="黑体"/>
          <w:spacing w:val="-7"/>
          <w:sz w:val="46"/>
          <w:szCs w:val="46"/>
        </w:rPr>
        <w:t>整体支出绩效自评报告</w:t>
      </w:r>
    </w:p>
    <w:p w14:paraId="020FF788">
      <w:pPr>
        <w:pStyle w:val="2"/>
        <w:spacing w:line="249" w:lineRule="auto"/>
        <w:jc w:val="center"/>
      </w:pPr>
    </w:p>
    <w:p w14:paraId="60A0C4D6">
      <w:pPr>
        <w:pStyle w:val="2"/>
        <w:spacing w:line="249" w:lineRule="auto"/>
        <w:jc w:val="center"/>
      </w:pPr>
    </w:p>
    <w:p w14:paraId="64D1B5D8">
      <w:pPr>
        <w:pStyle w:val="2"/>
        <w:spacing w:line="249" w:lineRule="auto"/>
      </w:pPr>
    </w:p>
    <w:p w14:paraId="7939E1AD">
      <w:pPr>
        <w:pStyle w:val="2"/>
        <w:spacing w:line="249" w:lineRule="auto"/>
      </w:pPr>
    </w:p>
    <w:p w14:paraId="79F7B523">
      <w:pPr>
        <w:pStyle w:val="2"/>
        <w:spacing w:line="249" w:lineRule="auto"/>
      </w:pPr>
    </w:p>
    <w:p w14:paraId="63D9567B">
      <w:pPr>
        <w:pStyle w:val="2"/>
        <w:spacing w:line="249" w:lineRule="auto"/>
      </w:pPr>
    </w:p>
    <w:p w14:paraId="08B271BF">
      <w:pPr>
        <w:pStyle w:val="2"/>
        <w:spacing w:line="249" w:lineRule="auto"/>
      </w:pPr>
    </w:p>
    <w:p w14:paraId="6DC5E18B">
      <w:pPr>
        <w:pStyle w:val="2"/>
        <w:spacing w:line="249" w:lineRule="auto"/>
      </w:pPr>
    </w:p>
    <w:p w14:paraId="006D5FA3">
      <w:pPr>
        <w:pStyle w:val="2"/>
        <w:spacing w:line="249" w:lineRule="auto"/>
      </w:pPr>
    </w:p>
    <w:p w14:paraId="66634965">
      <w:pPr>
        <w:pStyle w:val="2"/>
        <w:spacing w:line="249" w:lineRule="auto"/>
      </w:pPr>
    </w:p>
    <w:p w14:paraId="7D132EAA">
      <w:pPr>
        <w:pStyle w:val="2"/>
        <w:spacing w:line="249" w:lineRule="auto"/>
      </w:pPr>
    </w:p>
    <w:p w14:paraId="3F8DCF09">
      <w:pPr>
        <w:pStyle w:val="2"/>
        <w:spacing w:line="249" w:lineRule="auto"/>
      </w:pPr>
    </w:p>
    <w:p w14:paraId="0BD73DA5">
      <w:pPr>
        <w:pStyle w:val="2"/>
        <w:spacing w:line="249" w:lineRule="auto"/>
      </w:pPr>
    </w:p>
    <w:p w14:paraId="23E4ACEB">
      <w:pPr>
        <w:pStyle w:val="2"/>
        <w:spacing w:line="249" w:lineRule="auto"/>
      </w:pPr>
    </w:p>
    <w:p w14:paraId="3A550D6B">
      <w:pPr>
        <w:pStyle w:val="2"/>
        <w:spacing w:line="249" w:lineRule="auto"/>
      </w:pPr>
    </w:p>
    <w:p w14:paraId="4AEF1BE5">
      <w:pPr>
        <w:pStyle w:val="2"/>
        <w:spacing w:line="249" w:lineRule="auto"/>
      </w:pPr>
    </w:p>
    <w:p w14:paraId="60C3D4BB">
      <w:pPr>
        <w:pStyle w:val="2"/>
        <w:spacing w:line="249" w:lineRule="auto"/>
      </w:pPr>
    </w:p>
    <w:p w14:paraId="6C3B2684">
      <w:pPr>
        <w:pStyle w:val="2"/>
        <w:spacing w:line="249" w:lineRule="auto"/>
      </w:pPr>
    </w:p>
    <w:p w14:paraId="7B1FAAD2">
      <w:pPr>
        <w:pStyle w:val="2"/>
        <w:spacing w:line="249" w:lineRule="auto"/>
      </w:pPr>
    </w:p>
    <w:p w14:paraId="5F90EF95">
      <w:pPr>
        <w:pStyle w:val="2"/>
        <w:spacing w:line="249" w:lineRule="auto"/>
      </w:pPr>
    </w:p>
    <w:p w14:paraId="6560E02F">
      <w:pPr>
        <w:pStyle w:val="2"/>
        <w:spacing w:line="249" w:lineRule="auto"/>
      </w:pPr>
    </w:p>
    <w:p w14:paraId="63BED23A">
      <w:pPr>
        <w:pStyle w:val="2"/>
        <w:spacing w:line="249" w:lineRule="auto"/>
      </w:pPr>
    </w:p>
    <w:p w14:paraId="54E1B695">
      <w:pPr>
        <w:pStyle w:val="2"/>
        <w:spacing w:line="249" w:lineRule="auto"/>
      </w:pPr>
    </w:p>
    <w:p w14:paraId="2C0550AC">
      <w:pPr>
        <w:pStyle w:val="2"/>
        <w:spacing w:line="250" w:lineRule="auto"/>
      </w:pPr>
    </w:p>
    <w:p w14:paraId="53B9CB9F">
      <w:pPr>
        <w:pStyle w:val="2"/>
        <w:spacing w:line="250" w:lineRule="auto"/>
      </w:pPr>
      <w:r>
        <w:rPr>
          <w:rFonts w:ascii="黑体" w:hAnsi="黑体" w:eastAsia="黑体" w:cs="黑体"/>
          <w:b/>
          <w:bCs/>
          <w:spacing w:val="29"/>
          <w:sz w:val="30"/>
          <w:szCs w:val="30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1818005</wp:posOffset>
            </wp:positionH>
            <wp:positionV relativeFrom="page">
              <wp:posOffset>6214745</wp:posOffset>
            </wp:positionV>
            <wp:extent cx="2002790" cy="1918970"/>
            <wp:effectExtent l="0" t="0" r="3810" b="0"/>
            <wp:wrapNone/>
            <wp:docPr id="1" name="图片 1" descr="公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公章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CBCCCE">
                            <a:alpha val="100000"/>
                          </a:srgbClr>
                        </a:clrFrom>
                        <a:clrTo>
                          <a:srgbClr val="CBCCCE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2790" cy="1918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7DB31D">
      <w:pPr>
        <w:pStyle w:val="2"/>
        <w:spacing w:line="250" w:lineRule="auto"/>
      </w:pPr>
    </w:p>
    <w:p w14:paraId="7B922330">
      <w:pPr>
        <w:pStyle w:val="2"/>
        <w:spacing w:line="250" w:lineRule="auto"/>
      </w:pPr>
    </w:p>
    <w:p w14:paraId="1F1ECB1C">
      <w:pPr>
        <w:pStyle w:val="2"/>
        <w:spacing w:line="250" w:lineRule="auto"/>
      </w:pPr>
    </w:p>
    <w:p w14:paraId="4D4A0B63">
      <w:pPr>
        <w:pStyle w:val="2"/>
        <w:spacing w:line="250" w:lineRule="auto"/>
      </w:pPr>
    </w:p>
    <w:p w14:paraId="0CE8ADA6">
      <w:pPr>
        <w:pStyle w:val="2"/>
        <w:spacing w:line="250" w:lineRule="auto"/>
      </w:pPr>
    </w:p>
    <w:p w14:paraId="26B07B9B">
      <w:pPr>
        <w:spacing w:before="113" w:line="221" w:lineRule="auto"/>
        <w:jc w:val="center"/>
        <w:rPr>
          <w:rFonts w:hint="eastAsia" w:ascii="黑体" w:hAnsi="黑体" w:eastAsia="黑体" w:cs="黑体"/>
          <w:sz w:val="35"/>
          <w:szCs w:val="35"/>
          <w:lang w:eastAsia="zh-CN"/>
        </w:rPr>
      </w:pPr>
      <w:r>
        <w:rPr>
          <w:rFonts w:ascii="黑体" w:hAnsi="黑体" w:eastAsia="黑体" w:cs="黑体"/>
          <w:b/>
          <w:bCs/>
          <w:spacing w:val="13"/>
          <w:sz w:val="35"/>
          <w:szCs w:val="35"/>
        </w:rPr>
        <w:t>单位名称(盖章):江永县</w:t>
      </w:r>
      <w:r>
        <w:rPr>
          <w:rFonts w:hint="eastAsia" w:ascii="黑体" w:hAnsi="黑体" w:eastAsia="黑体" w:cs="黑体"/>
          <w:b/>
          <w:bCs/>
          <w:spacing w:val="13"/>
          <w:sz w:val="35"/>
          <w:szCs w:val="35"/>
          <w:lang w:eastAsia="zh-CN"/>
        </w:rPr>
        <w:t>夏层铺镇冷水铺中心幼儿园</w:t>
      </w:r>
    </w:p>
    <w:p w14:paraId="198D5A1B">
      <w:pPr>
        <w:pStyle w:val="2"/>
        <w:spacing w:line="248" w:lineRule="auto"/>
      </w:pPr>
    </w:p>
    <w:p w14:paraId="218F908D">
      <w:pPr>
        <w:pStyle w:val="2"/>
        <w:spacing w:line="248" w:lineRule="auto"/>
      </w:pPr>
    </w:p>
    <w:p w14:paraId="6AB2E702">
      <w:pPr>
        <w:pStyle w:val="2"/>
        <w:spacing w:line="249" w:lineRule="auto"/>
      </w:pPr>
    </w:p>
    <w:p w14:paraId="6F39B8A5">
      <w:pPr>
        <w:pStyle w:val="2"/>
        <w:spacing w:line="249" w:lineRule="auto"/>
      </w:pPr>
    </w:p>
    <w:p w14:paraId="2FD0EF74">
      <w:pPr>
        <w:pStyle w:val="2"/>
        <w:spacing w:line="249" w:lineRule="auto"/>
      </w:pPr>
    </w:p>
    <w:p w14:paraId="48B67B1A">
      <w:pPr>
        <w:pStyle w:val="2"/>
        <w:spacing w:line="249" w:lineRule="auto"/>
      </w:pPr>
    </w:p>
    <w:p w14:paraId="3983C1B3">
      <w:pPr>
        <w:spacing w:before="59" w:line="184" w:lineRule="auto"/>
        <w:ind w:left="4145"/>
      </w:pPr>
      <w:r>
        <w:rPr>
          <w:rFonts w:ascii="宋体" w:hAnsi="宋体" w:eastAsia="宋体" w:cs="宋体"/>
          <w:sz w:val="18"/>
          <w:szCs w:val="18"/>
        </w:rPr>
        <w:t>1</w:t>
      </w:r>
    </w:p>
    <w:p w14:paraId="776581AD">
      <w:pPr>
        <w:pStyle w:val="2"/>
        <w:spacing w:line="242" w:lineRule="auto"/>
      </w:pPr>
    </w:p>
    <w:p w14:paraId="6194F697">
      <w:pPr>
        <w:pStyle w:val="2"/>
        <w:spacing w:line="242" w:lineRule="auto"/>
      </w:pPr>
    </w:p>
    <w:p w14:paraId="052A636A">
      <w:pPr>
        <w:pStyle w:val="2"/>
        <w:spacing w:line="243" w:lineRule="auto"/>
      </w:pPr>
    </w:p>
    <w:p w14:paraId="22D651D8">
      <w:pPr>
        <w:spacing w:before="98" w:line="369" w:lineRule="auto"/>
        <w:ind w:left="134" w:right="1594" w:firstLine="590"/>
        <w:rPr>
          <w:rFonts w:ascii="宋体" w:hAnsi="宋体" w:eastAsia="宋体" w:cs="宋体"/>
          <w:spacing w:val="11"/>
          <w:sz w:val="30"/>
          <w:szCs w:val="30"/>
        </w:rPr>
      </w:pPr>
    </w:p>
    <w:p w14:paraId="7E99C622">
      <w:pPr>
        <w:spacing w:before="98" w:line="369" w:lineRule="auto"/>
        <w:ind w:left="134" w:right="1594" w:firstLine="590"/>
        <w:rPr>
          <w:rFonts w:ascii="宋体" w:hAnsi="宋体" w:eastAsia="宋体" w:cs="宋体"/>
          <w:spacing w:val="11"/>
          <w:sz w:val="30"/>
          <w:szCs w:val="30"/>
        </w:rPr>
      </w:pPr>
    </w:p>
    <w:p w14:paraId="302226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560" w:lineRule="exact"/>
        <w:ind w:left="134" w:right="1594" w:firstLine="59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1"/>
          <w:sz w:val="28"/>
          <w:szCs w:val="28"/>
        </w:rPr>
        <w:t>为增强财政露金支出的科学性、规范性，切实提</w:t>
      </w:r>
      <w:r>
        <w:rPr>
          <w:rFonts w:hint="eastAsia" w:ascii="仿宋" w:hAnsi="仿宋" w:eastAsia="仿宋" w:cs="仿宋"/>
          <w:spacing w:val="10"/>
          <w:sz w:val="28"/>
          <w:szCs w:val="28"/>
        </w:rPr>
        <w:t>高财政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9"/>
          <w:sz w:val="28"/>
          <w:szCs w:val="28"/>
        </w:rPr>
        <w:t>资金使用效益，根据财政部《中共中央国务院关于全面实施</w:t>
      </w:r>
      <w:r>
        <w:rPr>
          <w:rFonts w:hint="eastAsia" w:ascii="仿宋" w:hAnsi="仿宋" w:eastAsia="仿宋" w:cs="仿宋"/>
          <w:spacing w:val="1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4"/>
          <w:sz w:val="28"/>
          <w:szCs w:val="28"/>
        </w:rPr>
        <w:t>预算绩效管理的意见》(中发〔2018〕34号))、《中共湖南</w:t>
      </w:r>
      <w:r>
        <w:rPr>
          <w:rFonts w:hint="eastAsia" w:ascii="仿宋" w:hAnsi="仿宋" w:eastAsia="仿宋" w:cs="仿宋"/>
          <w:spacing w:val="12"/>
          <w:sz w:val="28"/>
          <w:szCs w:val="28"/>
        </w:rPr>
        <w:t>省委办公厅</w:t>
      </w:r>
      <w:r>
        <w:rPr>
          <w:rFonts w:hint="eastAsia" w:ascii="仿宋" w:hAnsi="仿宋" w:eastAsia="仿宋" w:cs="仿宋"/>
          <w:spacing w:val="14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2"/>
          <w:sz w:val="28"/>
          <w:szCs w:val="28"/>
        </w:rPr>
        <w:t>湖南省人民政府办公厅关于全面实施预算绩</w:t>
      </w:r>
      <w:r>
        <w:rPr>
          <w:rFonts w:hint="eastAsia" w:ascii="仿宋" w:hAnsi="仿宋" w:eastAsia="仿宋" w:cs="仿宋"/>
          <w:spacing w:val="9"/>
          <w:sz w:val="28"/>
          <w:szCs w:val="28"/>
        </w:rPr>
        <w:t>效管理的实施意见》(湘办发〔2019〕10号</w:t>
      </w:r>
      <w:r>
        <w:rPr>
          <w:rFonts w:hint="eastAsia" w:ascii="仿宋" w:hAnsi="仿宋" w:eastAsia="仿宋" w:cs="仿宋"/>
          <w:spacing w:val="8"/>
          <w:sz w:val="28"/>
          <w:szCs w:val="28"/>
        </w:rPr>
        <w:t>)</w:t>
      </w:r>
      <w:r>
        <w:rPr>
          <w:rFonts w:hint="eastAsia" w:ascii="仿宋" w:hAnsi="仿宋" w:eastAsia="仿宋" w:cs="仿宋"/>
          <w:spacing w:val="8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pacing w:val="8"/>
          <w:sz w:val="28"/>
          <w:szCs w:val="28"/>
        </w:rPr>
        <w:t>《湖南省预算</w:t>
      </w:r>
      <w:r>
        <w:rPr>
          <w:rFonts w:hint="eastAsia" w:ascii="仿宋" w:hAnsi="仿宋" w:eastAsia="仿宋" w:cs="仿宋"/>
          <w:sz w:val="28"/>
          <w:szCs w:val="28"/>
        </w:rPr>
        <w:t xml:space="preserve"> 绩效目标管理办法》(湘财绩〔2020〕6号)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《江永县全面</w:t>
      </w:r>
      <w:r>
        <w:rPr>
          <w:rFonts w:hint="eastAsia" w:ascii="仿宋" w:hAnsi="仿宋" w:eastAsia="仿宋" w:cs="仿宋"/>
          <w:spacing w:val="4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pacing w:val="19"/>
          <w:sz w:val="28"/>
          <w:szCs w:val="28"/>
        </w:rPr>
        <w:t>实施预算绩效管理实施办法》(永办发〔2022〕13号)等文</w:t>
      </w:r>
      <w:r>
        <w:rPr>
          <w:rFonts w:hint="eastAsia" w:ascii="仿宋" w:hAnsi="仿宋" w:eastAsia="仿宋" w:cs="仿宋"/>
          <w:spacing w:val="1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0"/>
          <w:sz w:val="28"/>
          <w:szCs w:val="28"/>
        </w:rPr>
        <w:t>件的要求，江永县</w:t>
      </w:r>
      <w:r>
        <w:rPr>
          <w:rFonts w:hint="eastAsia" w:ascii="仿宋" w:hAnsi="仿宋" w:eastAsia="仿宋" w:cs="仿宋"/>
          <w:spacing w:val="10"/>
          <w:sz w:val="28"/>
          <w:szCs w:val="28"/>
          <w:lang w:eastAsia="zh-CN"/>
        </w:rPr>
        <w:t>夏层铺镇冷水铺中心幼儿园</w:t>
      </w:r>
      <w:r>
        <w:rPr>
          <w:rFonts w:hint="eastAsia" w:ascii="仿宋" w:hAnsi="仿宋" w:eastAsia="仿宋" w:cs="仿宋"/>
          <w:spacing w:val="10"/>
          <w:sz w:val="28"/>
          <w:szCs w:val="28"/>
        </w:rPr>
        <w:t>对本园2023年度整体</w:t>
      </w:r>
      <w:r>
        <w:rPr>
          <w:rFonts w:hint="eastAsia" w:ascii="仿宋" w:hAnsi="仿宋" w:eastAsia="仿宋" w:cs="仿宋"/>
          <w:spacing w:val="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0"/>
          <w:sz w:val="28"/>
          <w:szCs w:val="28"/>
        </w:rPr>
        <w:t>部门支出资金进行了认真、仔细的绩效自评。现将有关情况</w:t>
      </w:r>
      <w:r>
        <w:rPr>
          <w:rFonts w:hint="eastAsia" w:ascii="仿宋" w:hAnsi="仿宋" w:eastAsia="仿宋" w:cs="仿宋"/>
          <w:sz w:val="28"/>
          <w:szCs w:val="28"/>
        </w:rPr>
        <w:t>汇报如下：</w:t>
      </w:r>
    </w:p>
    <w:p w14:paraId="4D034E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7" w:line="560" w:lineRule="exact"/>
        <w:ind w:left="729"/>
        <w:textAlignment w:val="baseline"/>
        <w:outlineLvl w:val="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z w:val="30"/>
          <w:szCs w:val="30"/>
        </w:rPr>
        <w:t>一</w:t>
      </w:r>
      <w:r>
        <w:rPr>
          <w:rFonts w:ascii="黑体" w:hAnsi="黑体" w:eastAsia="黑体" w:cs="黑体"/>
          <w:spacing w:val="-77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z w:val="30"/>
          <w:szCs w:val="30"/>
        </w:rPr>
        <w:t>、基本情况</w:t>
      </w:r>
    </w:p>
    <w:p w14:paraId="5D6469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60" w:lineRule="exact"/>
        <w:ind w:left="729"/>
        <w:textAlignment w:val="baseline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b/>
          <w:bCs/>
          <w:spacing w:val="23"/>
          <w:sz w:val="30"/>
          <w:szCs w:val="30"/>
        </w:rPr>
        <w:t>(</w:t>
      </w:r>
      <w:r>
        <w:rPr>
          <w:rFonts w:ascii="楷体" w:hAnsi="楷体" w:eastAsia="楷体" w:cs="楷体"/>
          <w:spacing w:val="-87"/>
          <w:sz w:val="30"/>
          <w:szCs w:val="30"/>
        </w:rPr>
        <w:t xml:space="preserve"> </w:t>
      </w:r>
      <w:r>
        <w:rPr>
          <w:rFonts w:ascii="楷体" w:hAnsi="楷体" w:eastAsia="楷体" w:cs="楷体"/>
          <w:b/>
          <w:bCs/>
          <w:spacing w:val="23"/>
          <w:sz w:val="30"/>
          <w:szCs w:val="30"/>
        </w:rPr>
        <w:t>一)部门基本情况</w:t>
      </w:r>
    </w:p>
    <w:p w14:paraId="6CC39E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5" w:line="560" w:lineRule="exact"/>
        <w:ind w:left="134" w:right="1649" w:firstLine="590"/>
        <w:jc w:val="both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4"/>
          <w:sz w:val="30"/>
          <w:szCs w:val="30"/>
        </w:rPr>
        <w:t>江永县</w:t>
      </w:r>
      <w:r>
        <w:rPr>
          <w:rFonts w:hint="eastAsia" w:ascii="仿宋" w:hAnsi="仿宋" w:eastAsia="仿宋" w:cs="仿宋"/>
          <w:spacing w:val="14"/>
          <w:sz w:val="30"/>
          <w:szCs w:val="30"/>
          <w:lang w:eastAsia="zh-CN"/>
        </w:rPr>
        <w:t>夏层铺镇冷水铺中心幼儿园</w:t>
      </w:r>
      <w:r>
        <w:rPr>
          <w:rFonts w:ascii="仿宋" w:hAnsi="仿宋" w:eastAsia="仿宋" w:cs="仿宋"/>
          <w:spacing w:val="14"/>
          <w:sz w:val="30"/>
          <w:szCs w:val="30"/>
        </w:rPr>
        <w:t>现有教职工共</w:t>
      </w:r>
      <w:r>
        <w:rPr>
          <w:rFonts w:hint="eastAsia" w:ascii="仿宋" w:hAnsi="仿宋" w:eastAsia="仿宋" w:cs="仿宋"/>
          <w:spacing w:val="14"/>
          <w:sz w:val="30"/>
          <w:szCs w:val="30"/>
          <w:lang w:val="en-US" w:eastAsia="zh-CN"/>
        </w:rPr>
        <w:t>10人，</w:t>
      </w:r>
      <w:r>
        <w:rPr>
          <w:rFonts w:ascii="仿宋" w:hAnsi="仿宋" w:eastAsia="仿宋" w:cs="仿宋"/>
          <w:spacing w:val="13"/>
          <w:sz w:val="30"/>
          <w:szCs w:val="30"/>
        </w:rPr>
        <w:t>在编</w:t>
      </w:r>
      <w:r>
        <w:rPr>
          <w:rFonts w:ascii="仿宋" w:hAnsi="仿宋" w:eastAsia="仿宋" w:cs="仿宋"/>
          <w:spacing w:val="19"/>
          <w:sz w:val="30"/>
          <w:szCs w:val="30"/>
        </w:rPr>
        <w:t>职工</w:t>
      </w:r>
      <w:r>
        <w:rPr>
          <w:rFonts w:hint="eastAsia" w:ascii="仿宋" w:hAnsi="仿宋" w:eastAsia="仿宋" w:cs="仿宋"/>
          <w:spacing w:val="19"/>
          <w:sz w:val="30"/>
          <w:szCs w:val="30"/>
          <w:lang w:val="en-US" w:eastAsia="zh-CN"/>
        </w:rPr>
        <w:t>6</w:t>
      </w:r>
      <w:r>
        <w:rPr>
          <w:rFonts w:ascii="仿宋" w:hAnsi="仿宋" w:eastAsia="仿宋" w:cs="仿宋"/>
          <w:spacing w:val="19"/>
          <w:sz w:val="30"/>
          <w:szCs w:val="30"/>
        </w:rPr>
        <w:t>人，临聘人员</w:t>
      </w:r>
      <w:r>
        <w:rPr>
          <w:rFonts w:hint="eastAsia" w:ascii="仿宋" w:hAnsi="仿宋" w:eastAsia="仿宋" w:cs="仿宋"/>
          <w:spacing w:val="19"/>
          <w:sz w:val="30"/>
          <w:szCs w:val="30"/>
          <w:lang w:val="en-US" w:eastAsia="zh-CN"/>
        </w:rPr>
        <w:t>3</w:t>
      </w:r>
      <w:r>
        <w:rPr>
          <w:rFonts w:ascii="仿宋" w:hAnsi="仿宋" w:eastAsia="仿宋" w:cs="仿宋"/>
          <w:spacing w:val="19"/>
          <w:sz w:val="30"/>
          <w:szCs w:val="30"/>
        </w:rPr>
        <w:t>人</w:t>
      </w:r>
      <w:r>
        <w:rPr>
          <w:rFonts w:hint="eastAsia" w:ascii="仿宋" w:hAnsi="仿宋" w:eastAsia="仿宋" w:cs="仿宋"/>
          <w:spacing w:val="19"/>
          <w:sz w:val="30"/>
          <w:szCs w:val="30"/>
          <w:lang w:eastAsia="zh-CN"/>
        </w:rPr>
        <w:t>，保安</w:t>
      </w:r>
      <w:r>
        <w:rPr>
          <w:rFonts w:hint="eastAsia" w:ascii="仿宋" w:hAnsi="仿宋" w:eastAsia="仿宋" w:cs="仿宋"/>
          <w:spacing w:val="19"/>
          <w:sz w:val="30"/>
          <w:szCs w:val="30"/>
          <w:lang w:val="en-US" w:eastAsia="zh-CN"/>
        </w:rPr>
        <w:t>1人</w:t>
      </w:r>
      <w:r>
        <w:rPr>
          <w:rFonts w:ascii="仿宋" w:hAnsi="仿宋" w:eastAsia="仿宋" w:cs="仿宋"/>
          <w:spacing w:val="19"/>
          <w:sz w:val="30"/>
          <w:szCs w:val="30"/>
        </w:rPr>
        <w:t>，在编教师中：中小学二级教师</w:t>
      </w:r>
      <w:r>
        <w:rPr>
          <w:rFonts w:hint="eastAsia" w:ascii="仿宋" w:hAnsi="仿宋" w:eastAsia="仿宋" w:cs="仿宋"/>
          <w:spacing w:val="19"/>
          <w:sz w:val="30"/>
          <w:szCs w:val="30"/>
          <w:lang w:val="en-US" w:eastAsia="zh-CN"/>
        </w:rPr>
        <w:t>6</w:t>
      </w:r>
      <w:r>
        <w:rPr>
          <w:rFonts w:ascii="仿宋" w:hAnsi="仿宋" w:eastAsia="仿宋" w:cs="仿宋"/>
          <w:spacing w:val="29"/>
          <w:sz w:val="30"/>
          <w:szCs w:val="30"/>
        </w:rPr>
        <w:t>人。</w:t>
      </w:r>
    </w:p>
    <w:p w14:paraId="1725D0B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9" w:line="560" w:lineRule="exact"/>
        <w:ind w:left="729"/>
        <w:textAlignment w:val="baseline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3"/>
          <w:position w:val="18"/>
          <w:sz w:val="30"/>
          <w:szCs w:val="30"/>
        </w:rPr>
        <w:t>二</w:t>
      </w:r>
      <w:r>
        <w:rPr>
          <w:rFonts w:ascii="黑体" w:hAnsi="黑体" w:eastAsia="黑体" w:cs="黑体"/>
          <w:spacing w:val="-81"/>
          <w:position w:val="18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3"/>
          <w:position w:val="18"/>
          <w:sz w:val="30"/>
          <w:szCs w:val="30"/>
        </w:rPr>
        <w:t>、一般公共预算支出情况</w:t>
      </w:r>
    </w:p>
    <w:p w14:paraId="537D95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929"/>
        <w:textAlignment w:val="baseline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b/>
          <w:bCs/>
          <w:spacing w:val="23"/>
          <w:sz w:val="30"/>
          <w:szCs w:val="30"/>
        </w:rPr>
        <w:t>(一)基本支出情况</w:t>
      </w:r>
    </w:p>
    <w:p w14:paraId="69CEE5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0" w:line="560" w:lineRule="exact"/>
        <w:ind w:left="134" w:right="1638" w:firstLine="590"/>
        <w:jc w:val="both"/>
        <w:textAlignment w:val="baseline"/>
        <w:rPr>
          <w:rFonts w:ascii="仿宋" w:hAnsi="仿宋" w:eastAsia="仿宋" w:cs="仿宋"/>
          <w:spacing w:val="11"/>
          <w:sz w:val="30"/>
          <w:szCs w:val="30"/>
        </w:rPr>
      </w:pPr>
      <w:r>
        <w:rPr>
          <w:rFonts w:ascii="仿宋" w:hAnsi="仿宋" w:eastAsia="仿宋" w:cs="仿宋"/>
          <w:spacing w:val="8"/>
          <w:sz w:val="30"/>
          <w:szCs w:val="30"/>
        </w:rPr>
        <w:t>2023年度，江永县</w:t>
      </w:r>
      <w:r>
        <w:rPr>
          <w:rFonts w:hint="eastAsia" w:ascii="仿宋" w:hAnsi="仿宋" w:eastAsia="仿宋" w:cs="仿宋"/>
          <w:spacing w:val="8"/>
          <w:sz w:val="30"/>
          <w:szCs w:val="30"/>
          <w:lang w:eastAsia="zh-CN"/>
        </w:rPr>
        <w:t>夏层铺镇冷水铺中心幼儿园</w:t>
      </w:r>
      <w:r>
        <w:rPr>
          <w:rFonts w:ascii="仿宋" w:hAnsi="仿宋" w:eastAsia="仿宋" w:cs="仿宋"/>
          <w:spacing w:val="8"/>
          <w:sz w:val="30"/>
          <w:szCs w:val="30"/>
        </w:rPr>
        <w:t>基本支</w:t>
      </w:r>
      <w:r>
        <w:rPr>
          <w:rFonts w:ascii="仿宋" w:hAnsi="仿宋" w:eastAsia="仿宋" w:cs="仿宋"/>
          <w:spacing w:val="7"/>
          <w:sz w:val="30"/>
          <w:szCs w:val="30"/>
        </w:rPr>
        <w:t>出</w:t>
      </w:r>
      <w:r>
        <w:rPr>
          <w:rFonts w:hint="eastAsia" w:ascii="仿宋" w:hAnsi="仿宋" w:eastAsia="仿宋" w:cs="仿宋"/>
          <w:spacing w:val="7"/>
          <w:sz w:val="30"/>
          <w:szCs w:val="30"/>
          <w:lang w:val="en-US" w:eastAsia="zh-CN"/>
        </w:rPr>
        <w:t>75.97</w:t>
      </w:r>
      <w:r>
        <w:rPr>
          <w:rFonts w:ascii="仿宋" w:hAnsi="仿宋" w:eastAsia="仿宋" w:cs="仿宋"/>
          <w:spacing w:val="9"/>
          <w:sz w:val="30"/>
          <w:szCs w:val="30"/>
        </w:rPr>
        <w:t>万元。主要用于人员工资、办公费、水电费、差</w:t>
      </w:r>
      <w:r>
        <w:rPr>
          <w:rFonts w:ascii="仿宋" w:hAnsi="仿宋" w:eastAsia="仿宋" w:cs="仿宋"/>
          <w:spacing w:val="8"/>
          <w:sz w:val="30"/>
          <w:szCs w:val="30"/>
        </w:rPr>
        <w:t>旅费、其它</w:t>
      </w:r>
      <w:r>
        <w:rPr>
          <w:rFonts w:ascii="仿宋" w:hAnsi="仿宋" w:eastAsia="仿宋" w:cs="仿宋"/>
          <w:spacing w:val="11"/>
          <w:sz w:val="30"/>
          <w:szCs w:val="30"/>
        </w:rPr>
        <w:t>维修(护)费、公务接待费、培训费、保险费、工会经费等。</w:t>
      </w:r>
    </w:p>
    <w:p w14:paraId="7295013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929"/>
        <w:textAlignment w:val="baseline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b/>
          <w:bCs/>
          <w:spacing w:val="23"/>
          <w:sz w:val="30"/>
          <w:szCs w:val="30"/>
        </w:rPr>
        <w:t>(</w:t>
      </w:r>
      <w:r>
        <w:rPr>
          <w:rFonts w:hint="eastAsia" w:ascii="楷体" w:hAnsi="楷体" w:eastAsia="楷体" w:cs="楷体"/>
          <w:b/>
          <w:bCs/>
          <w:spacing w:val="23"/>
          <w:sz w:val="30"/>
          <w:szCs w:val="30"/>
          <w:lang w:eastAsia="zh-CN"/>
        </w:rPr>
        <w:t>二</w:t>
      </w:r>
      <w:r>
        <w:rPr>
          <w:rFonts w:ascii="楷体" w:hAnsi="楷体" w:eastAsia="楷体" w:cs="楷体"/>
          <w:b/>
          <w:bCs/>
          <w:spacing w:val="23"/>
          <w:sz w:val="30"/>
          <w:szCs w:val="30"/>
        </w:rPr>
        <w:t>)</w:t>
      </w:r>
      <w:r>
        <w:rPr>
          <w:rFonts w:hint="eastAsia" w:ascii="楷体" w:hAnsi="楷体" w:eastAsia="楷体" w:cs="楷体"/>
          <w:b/>
          <w:bCs/>
          <w:spacing w:val="23"/>
          <w:sz w:val="30"/>
          <w:szCs w:val="30"/>
          <w:lang w:eastAsia="zh-CN"/>
        </w:rPr>
        <w:t>项目</w:t>
      </w:r>
      <w:r>
        <w:rPr>
          <w:rFonts w:ascii="楷体" w:hAnsi="楷体" w:eastAsia="楷体" w:cs="楷体"/>
          <w:b/>
          <w:bCs/>
          <w:spacing w:val="23"/>
          <w:sz w:val="30"/>
          <w:szCs w:val="30"/>
        </w:rPr>
        <w:t>支出情况</w:t>
      </w:r>
    </w:p>
    <w:p w14:paraId="1B3460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0" w:line="560" w:lineRule="exact"/>
        <w:ind w:left="134" w:right="1638" w:firstLine="590"/>
        <w:jc w:val="both"/>
        <w:textAlignment w:val="baseline"/>
        <w:rPr>
          <w:rFonts w:hint="eastAsia" w:ascii="仿宋" w:hAnsi="仿宋" w:eastAsia="仿宋" w:cs="仿宋"/>
          <w:spacing w:val="11"/>
          <w:sz w:val="30"/>
          <w:szCs w:val="30"/>
          <w:lang w:eastAsia="zh-CN"/>
        </w:rPr>
      </w:pPr>
      <w:r>
        <w:rPr>
          <w:rFonts w:ascii="仿宋" w:hAnsi="仿宋" w:eastAsia="仿宋" w:cs="仿宋"/>
          <w:spacing w:val="8"/>
          <w:sz w:val="30"/>
          <w:szCs w:val="30"/>
        </w:rPr>
        <w:t>2023年度，江永县</w:t>
      </w:r>
      <w:r>
        <w:rPr>
          <w:rFonts w:hint="eastAsia" w:ascii="仿宋" w:hAnsi="仿宋" w:eastAsia="仿宋" w:cs="仿宋"/>
          <w:spacing w:val="8"/>
          <w:sz w:val="30"/>
          <w:szCs w:val="30"/>
          <w:lang w:eastAsia="zh-CN"/>
        </w:rPr>
        <w:t>夏层铺镇冷水铺中心幼儿园项目</w:t>
      </w:r>
      <w:r>
        <w:rPr>
          <w:rFonts w:ascii="仿宋" w:hAnsi="仿宋" w:eastAsia="仿宋" w:cs="仿宋"/>
          <w:spacing w:val="8"/>
          <w:sz w:val="30"/>
          <w:szCs w:val="30"/>
        </w:rPr>
        <w:t>支</w:t>
      </w:r>
      <w:r>
        <w:rPr>
          <w:rFonts w:ascii="仿宋" w:hAnsi="仿宋" w:eastAsia="仿宋" w:cs="仿宋"/>
          <w:spacing w:val="7"/>
          <w:sz w:val="30"/>
          <w:szCs w:val="30"/>
        </w:rPr>
        <w:t>出</w:t>
      </w:r>
      <w:r>
        <w:rPr>
          <w:rFonts w:hint="eastAsia" w:ascii="仿宋" w:hAnsi="仿宋" w:eastAsia="仿宋" w:cs="仿宋"/>
          <w:spacing w:val="7"/>
          <w:sz w:val="30"/>
          <w:szCs w:val="30"/>
          <w:lang w:val="en-US" w:eastAsia="zh-CN"/>
        </w:rPr>
        <w:t>36.13</w:t>
      </w:r>
      <w:r>
        <w:rPr>
          <w:rFonts w:ascii="仿宋" w:hAnsi="仿宋" w:eastAsia="仿宋" w:cs="仿宋"/>
          <w:spacing w:val="9"/>
          <w:sz w:val="30"/>
          <w:szCs w:val="30"/>
        </w:rPr>
        <w:t>万元。主要用于</w:t>
      </w:r>
      <w:r>
        <w:rPr>
          <w:rFonts w:hint="eastAsia" w:ascii="仿宋" w:hAnsi="仿宋" w:eastAsia="仿宋" w:cs="仿宋"/>
          <w:spacing w:val="9"/>
          <w:sz w:val="30"/>
          <w:szCs w:val="30"/>
          <w:lang w:eastAsia="zh-CN"/>
        </w:rPr>
        <w:t>幼儿园校门维修及围墙改造项目，户外玩具及滑滑梯采购项目。</w:t>
      </w:r>
    </w:p>
    <w:p w14:paraId="09F2C9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0" w:line="560" w:lineRule="exact"/>
        <w:ind w:left="729"/>
        <w:textAlignment w:val="baseline"/>
        <w:outlineLvl w:val="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z w:val="30"/>
          <w:szCs w:val="30"/>
        </w:rPr>
        <w:t>三</w:t>
      </w:r>
      <w:r>
        <w:rPr>
          <w:rFonts w:ascii="黑体" w:hAnsi="黑体" w:eastAsia="黑体" w:cs="黑体"/>
          <w:spacing w:val="-29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z w:val="30"/>
          <w:szCs w:val="30"/>
        </w:rPr>
        <w:t>、政府性基金预算支出情况</w:t>
      </w:r>
    </w:p>
    <w:p w14:paraId="2A1589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line="560" w:lineRule="exact"/>
        <w:ind w:left="724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7"/>
          <w:sz w:val="30"/>
          <w:szCs w:val="30"/>
        </w:rPr>
        <w:t>我园2023年度无政府性基金预算支出。</w:t>
      </w:r>
    </w:p>
    <w:p w14:paraId="6466C9F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</w:pPr>
    </w:p>
    <w:p w14:paraId="332E9E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560" w:lineRule="exact"/>
        <w:textAlignment w:val="baseline"/>
        <w:rPr>
          <w:rFonts w:ascii="黑体" w:hAnsi="黑体" w:eastAsia="黑体" w:cs="黑体"/>
          <w:sz w:val="29"/>
          <w:szCs w:val="29"/>
        </w:rPr>
      </w:pPr>
      <w:r>
        <w:rPr>
          <w:rFonts w:hint="eastAsia" w:eastAsia="宋体"/>
          <w:lang w:val="en-US" w:eastAsia="zh-CN"/>
        </w:rPr>
        <w:t xml:space="preserve">             </w:t>
      </w:r>
      <w:r>
        <w:rPr>
          <w:rFonts w:ascii="黑体" w:hAnsi="黑体" w:eastAsia="黑体" w:cs="黑体"/>
          <w:b/>
          <w:bCs/>
          <w:spacing w:val="-4"/>
          <w:sz w:val="29"/>
          <w:szCs w:val="29"/>
        </w:rPr>
        <w:t>四</w:t>
      </w:r>
      <w:r>
        <w:rPr>
          <w:rFonts w:ascii="黑体" w:hAnsi="黑体" w:eastAsia="黑体" w:cs="黑体"/>
          <w:spacing w:val="-40"/>
          <w:sz w:val="29"/>
          <w:szCs w:val="29"/>
        </w:rPr>
        <w:t xml:space="preserve"> </w:t>
      </w:r>
      <w:r>
        <w:rPr>
          <w:rFonts w:ascii="黑体" w:hAnsi="黑体" w:eastAsia="黑体" w:cs="黑体"/>
          <w:b/>
          <w:bCs/>
          <w:spacing w:val="-4"/>
          <w:sz w:val="29"/>
          <w:szCs w:val="29"/>
        </w:rPr>
        <w:t>、国有资本经营预算支出情况</w:t>
      </w:r>
    </w:p>
    <w:p w14:paraId="6E452A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3" w:line="560" w:lineRule="exact"/>
        <w:ind w:left="894"/>
        <w:textAlignment w:val="baseline"/>
        <w:rPr>
          <w:rFonts w:hint="eastAsia" w:ascii="仿宋" w:hAnsi="仿宋" w:eastAsia="仿宋" w:cs="仿宋"/>
          <w:sz w:val="29"/>
          <w:szCs w:val="29"/>
        </w:rPr>
      </w:pPr>
      <w:r>
        <w:rPr>
          <w:rFonts w:hint="eastAsia" w:ascii="仿宋" w:hAnsi="仿宋" w:eastAsia="仿宋" w:cs="仿宋"/>
          <w:spacing w:val="14"/>
          <w:sz w:val="29"/>
          <w:szCs w:val="29"/>
        </w:rPr>
        <w:t>我园2023年度无国有资本经营预算支出</w:t>
      </w:r>
    </w:p>
    <w:p w14:paraId="04D186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3" w:line="560" w:lineRule="exact"/>
        <w:ind w:left="899"/>
        <w:textAlignment w:val="baseline"/>
        <w:outlineLvl w:val="0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b/>
          <w:bCs/>
          <w:spacing w:val="1"/>
          <w:sz w:val="29"/>
          <w:szCs w:val="29"/>
        </w:rPr>
        <w:t>五、部门整体支出绩效情况</w:t>
      </w:r>
    </w:p>
    <w:p w14:paraId="416EEC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2" w:line="560" w:lineRule="exact"/>
        <w:ind w:left="324" w:right="1776" w:firstLine="570"/>
        <w:textAlignment w:val="baseline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5"/>
          <w:sz w:val="29"/>
          <w:szCs w:val="29"/>
        </w:rPr>
        <w:t>2023年度整体支出情况良好，对基本支出的情况进行了</w:t>
      </w:r>
      <w:r>
        <w:rPr>
          <w:rFonts w:ascii="仿宋" w:hAnsi="仿宋" w:eastAsia="仿宋" w:cs="仿宋"/>
          <w:spacing w:val="17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5"/>
          <w:sz w:val="29"/>
          <w:szCs w:val="29"/>
        </w:rPr>
        <w:t>预算，从费用安排、资金的拨付进行了综合评价，认为费用</w:t>
      </w:r>
      <w:r>
        <w:rPr>
          <w:rFonts w:ascii="仿宋" w:hAnsi="仿宋" w:eastAsia="仿宋" w:cs="仿宋"/>
          <w:spacing w:val="11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6"/>
          <w:sz w:val="29"/>
          <w:szCs w:val="29"/>
        </w:rPr>
        <w:t>资金到位比较及时，并制定了科学合理的实施计划</w:t>
      </w:r>
      <w:r>
        <w:rPr>
          <w:rFonts w:ascii="仿宋" w:hAnsi="仿宋" w:eastAsia="仿宋" w:cs="仿宋"/>
          <w:spacing w:val="5"/>
          <w:sz w:val="29"/>
          <w:szCs w:val="29"/>
        </w:rPr>
        <w:t>，实施过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4"/>
          <w:sz w:val="29"/>
          <w:szCs w:val="29"/>
        </w:rPr>
        <w:t>程中严格按照经费管理规定执行，目前工作持续稳定进展，</w:t>
      </w:r>
      <w:r>
        <w:rPr>
          <w:rFonts w:ascii="仿宋" w:hAnsi="仿宋" w:eastAsia="仿宋" w:cs="仿宋"/>
          <w:spacing w:val="10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5"/>
          <w:sz w:val="29"/>
          <w:szCs w:val="29"/>
        </w:rPr>
        <w:t>具有较好的经济和社会效益。我园基础数据信息真</w:t>
      </w:r>
      <w:r>
        <w:rPr>
          <w:rFonts w:ascii="仿宋" w:hAnsi="仿宋" w:eastAsia="仿宋" w:cs="仿宋"/>
          <w:spacing w:val="4"/>
          <w:sz w:val="29"/>
          <w:szCs w:val="29"/>
        </w:rPr>
        <w:t>实、资料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5"/>
          <w:sz w:val="29"/>
          <w:szCs w:val="29"/>
        </w:rPr>
        <w:t>收集齐全，每一笔费用都有完整的资料，基本达到上级的要</w:t>
      </w:r>
    </w:p>
    <w:p w14:paraId="23028E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24"/>
        <w:textAlignment w:val="baseline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-1"/>
          <w:sz w:val="29"/>
          <w:szCs w:val="29"/>
        </w:rPr>
        <w:t>求。家长对园所评价满意度高。</w:t>
      </w:r>
    </w:p>
    <w:p w14:paraId="6B5EDA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7" w:line="560" w:lineRule="exact"/>
        <w:ind w:left="899"/>
        <w:textAlignment w:val="baseline"/>
        <w:outlineLvl w:val="0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b/>
          <w:bCs/>
          <w:spacing w:val="-8"/>
          <w:sz w:val="29"/>
          <w:szCs w:val="29"/>
        </w:rPr>
        <w:t>六、</w:t>
      </w:r>
      <w:r>
        <w:rPr>
          <w:rFonts w:ascii="黑体" w:hAnsi="黑体" w:eastAsia="黑体" w:cs="黑体"/>
          <w:spacing w:val="-54"/>
          <w:sz w:val="29"/>
          <w:szCs w:val="29"/>
        </w:rPr>
        <w:t xml:space="preserve"> </w:t>
      </w:r>
      <w:r>
        <w:rPr>
          <w:rFonts w:ascii="黑体" w:hAnsi="黑体" w:eastAsia="黑体" w:cs="黑体"/>
          <w:b/>
          <w:bCs/>
          <w:spacing w:val="-8"/>
          <w:sz w:val="29"/>
          <w:szCs w:val="29"/>
        </w:rPr>
        <w:t>存在的问题及原因分析</w:t>
      </w:r>
    </w:p>
    <w:p w14:paraId="495C965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3" w:line="560" w:lineRule="exact"/>
        <w:ind w:left="745"/>
        <w:textAlignment w:val="baseline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"/>
          <w:position w:val="21"/>
          <w:sz w:val="29"/>
          <w:szCs w:val="29"/>
        </w:rPr>
        <w:t>资金拨付流程复杂，每一笔费用单位录单后不能保证及时</w:t>
      </w:r>
    </w:p>
    <w:p w14:paraId="5908FF2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324"/>
        <w:textAlignment w:val="baseline"/>
        <w:rPr>
          <w:rFonts w:hint="eastAsia" w:ascii="仿宋" w:hAnsi="仿宋" w:eastAsia="仿宋" w:cs="仿宋"/>
          <w:spacing w:val="1"/>
          <w:sz w:val="29"/>
          <w:szCs w:val="29"/>
          <w:lang w:eastAsia="zh-CN"/>
        </w:rPr>
      </w:pPr>
      <w:r>
        <w:rPr>
          <w:rFonts w:ascii="仿宋" w:hAnsi="仿宋" w:eastAsia="仿宋" w:cs="仿宋"/>
          <w:spacing w:val="1"/>
          <w:sz w:val="29"/>
          <w:szCs w:val="29"/>
        </w:rPr>
        <w:t>支付，实施时间跨度大</w:t>
      </w:r>
      <w:r>
        <w:rPr>
          <w:rFonts w:hint="eastAsia" w:ascii="仿宋" w:hAnsi="仿宋" w:eastAsia="仿宋" w:cs="仿宋"/>
          <w:spacing w:val="1"/>
          <w:sz w:val="29"/>
          <w:szCs w:val="29"/>
          <w:lang w:eastAsia="zh-CN"/>
        </w:rPr>
        <w:t>。以采购、校园维修等项目支付时间跨</w:t>
      </w:r>
    </w:p>
    <w:p w14:paraId="53797B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324"/>
        <w:textAlignment w:val="baseline"/>
        <w:rPr>
          <w:rFonts w:ascii="仿宋" w:hAnsi="仿宋" w:eastAsia="仿宋" w:cs="仿宋"/>
          <w:sz w:val="29"/>
          <w:szCs w:val="29"/>
        </w:rPr>
      </w:pPr>
      <w:r>
        <w:rPr>
          <w:rFonts w:hint="eastAsia" w:ascii="仿宋" w:hAnsi="仿宋" w:eastAsia="仿宋" w:cs="仿宋"/>
          <w:spacing w:val="1"/>
          <w:sz w:val="29"/>
          <w:szCs w:val="29"/>
          <w:lang w:eastAsia="zh-CN"/>
        </w:rPr>
        <w:t>度最大最久。</w:t>
      </w:r>
    </w:p>
    <w:p w14:paraId="0407C5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7" w:line="560" w:lineRule="exact"/>
        <w:ind w:left="899"/>
        <w:textAlignment w:val="baseline"/>
        <w:outlineLvl w:val="0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b/>
          <w:bCs/>
          <w:sz w:val="29"/>
          <w:szCs w:val="29"/>
        </w:rPr>
        <w:t>七、下一步改进措施</w:t>
      </w:r>
    </w:p>
    <w:p w14:paraId="42E1AF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3" w:line="560" w:lineRule="exact"/>
        <w:ind w:left="324" w:right="1755" w:firstLine="570"/>
        <w:jc w:val="both"/>
        <w:textAlignment w:val="baseline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5"/>
          <w:sz w:val="29"/>
          <w:szCs w:val="29"/>
        </w:rPr>
        <w:t>绩效评价工作要各部门协调齐头并进，制定方案，各司</w:t>
      </w:r>
      <w:r>
        <w:rPr>
          <w:rFonts w:ascii="仿宋" w:hAnsi="仿宋" w:eastAsia="仿宋" w:cs="仿宋"/>
          <w:spacing w:val="7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-3"/>
          <w:sz w:val="29"/>
          <w:szCs w:val="29"/>
        </w:rPr>
        <w:t>其责。通过绩效评价，要加强资金的管理。</w:t>
      </w:r>
      <w:r>
        <w:rPr>
          <w:rFonts w:hint="eastAsia" w:ascii="仿宋" w:hAnsi="仿宋" w:eastAsia="仿宋" w:cs="仿宋"/>
          <w:spacing w:val="-3"/>
          <w:sz w:val="29"/>
          <w:szCs w:val="29"/>
          <w:lang w:eastAsia="zh-CN"/>
        </w:rPr>
        <w:t>一</w:t>
      </w:r>
      <w:r>
        <w:rPr>
          <w:rFonts w:ascii="仿宋" w:hAnsi="仿宋" w:eastAsia="仿宋" w:cs="仿宋"/>
          <w:spacing w:val="-3"/>
          <w:sz w:val="29"/>
          <w:szCs w:val="29"/>
        </w:rPr>
        <w:t>是严格资金审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5"/>
          <w:sz w:val="29"/>
          <w:szCs w:val="29"/>
        </w:rPr>
        <w:t>批程序，确保工作顺利推进。二是强化统筹管理。实行局领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8"/>
          <w:sz w:val="29"/>
          <w:szCs w:val="29"/>
        </w:rPr>
        <w:t>导和局机关各股室负责对我园各种费用资金实施进行全过</w:t>
      </w:r>
    </w:p>
    <w:p w14:paraId="2CE651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24"/>
        <w:textAlignment w:val="baseline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z w:val="29"/>
          <w:szCs w:val="29"/>
        </w:rPr>
        <w:t>程监督指导。</w:t>
      </w:r>
    </w:p>
    <w:p w14:paraId="6F8A99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4" w:line="560" w:lineRule="exact"/>
        <w:ind w:left="899"/>
        <w:textAlignment w:val="baseline"/>
        <w:outlineLvl w:val="0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b/>
          <w:bCs/>
          <w:spacing w:val="-1"/>
          <w:sz w:val="29"/>
          <w:szCs w:val="29"/>
        </w:rPr>
        <w:t>八、</w:t>
      </w:r>
      <w:r>
        <w:rPr>
          <w:rFonts w:ascii="黑体" w:hAnsi="黑体" w:eastAsia="黑体" w:cs="黑体"/>
          <w:spacing w:val="-56"/>
          <w:sz w:val="29"/>
          <w:szCs w:val="29"/>
        </w:rPr>
        <w:t xml:space="preserve"> </w:t>
      </w:r>
      <w:r>
        <w:rPr>
          <w:rFonts w:ascii="黑体" w:hAnsi="黑体" w:eastAsia="黑体" w:cs="黑体"/>
          <w:b/>
          <w:bCs/>
          <w:spacing w:val="-1"/>
          <w:sz w:val="29"/>
          <w:szCs w:val="29"/>
        </w:rPr>
        <w:t>绩效自评结果拟应用和公开情况</w:t>
      </w:r>
    </w:p>
    <w:p w14:paraId="71FC64F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7" w:line="560" w:lineRule="exact"/>
        <w:ind w:left="324" w:right="1762" w:firstLine="570"/>
        <w:jc w:val="both"/>
        <w:textAlignment w:val="baseline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6"/>
          <w:sz w:val="29"/>
          <w:szCs w:val="29"/>
        </w:rPr>
        <w:t>从绩效自评结果来看，我园整体支出绩效较好，有</w:t>
      </w:r>
      <w:r>
        <w:rPr>
          <w:rFonts w:ascii="仿宋" w:hAnsi="仿宋" w:eastAsia="仿宋" w:cs="仿宋"/>
          <w:spacing w:val="5"/>
          <w:sz w:val="29"/>
          <w:szCs w:val="29"/>
        </w:rPr>
        <w:t>利于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6"/>
          <w:sz w:val="29"/>
          <w:szCs w:val="29"/>
        </w:rPr>
        <w:t>我园各项工作的开展。根据预算绩效评价的有关规定，我园</w:t>
      </w:r>
    </w:p>
    <w:p w14:paraId="5003BA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324"/>
        <w:textAlignment w:val="baseline"/>
        <w:rPr>
          <w:rFonts w:hint="eastAsia" w:eastAsia="宋体"/>
          <w:lang w:val="en-US" w:eastAsia="zh-CN"/>
        </w:rPr>
      </w:pPr>
      <w:r>
        <w:rPr>
          <w:rFonts w:ascii="仿宋" w:hAnsi="仿宋" w:eastAsia="仿宋" w:cs="仿宋"/>
          <w:spacing w:val="5"/>
          <w:sz w:val="29"/>
          <w:szCs w:val="29"/>
        </w:rPr>
        <w:t>及时上交绩效自评报告至相关部门查阅监督。</w:t>
      </w:r>
    </w:p>
    <w:p w14:paraId="036EB0D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</w:pPr>
    </w:p>
    <w:p w14:paraId="057ABBF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4" w:line="560" w:lineRule="exact"/>
        <w:ind w:firstLine="663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5"/>
          <w:sz w:val="32"/>
          <w:szCs w:val="32"/>
          <w:lang w:eastAsia="zh-CN"/>
        </w:rPr>
        <w:t>九、</w:t>
      </w:r>
      <w:r>
        <w:rPr>
          <w:rFonts w:ascii="黑体" w:hAnsi="黑体" w:eastAsia="黑体" w:cs="黑体"/>
          <w:b/>
          <w:bCs/>
          <w:spacing w:val="5"/>
          <w:sz w:val="32"/>
          <w:szCs w:val="32"/>
        </w:rPr>
        <w:t>其他需要说明的情况</w:t>
      </w:r>
    </w:p>
    <w:p w14:paraId="6869AB5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</w:pPr>
    </w:p>
    <w:p w14:paraId="62D7D52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</w:pPr>
    </w:p>
    <w:p w14:paraId="5A3FE8F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</w:pPr>
    </w:p>
    <w:p w14:paraId="14912F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4" w:line="560" w:lineRule="exact"/>
        <w:ind w:left="4304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17"/>
          <w:sz w:val="32"/>
          <w:szCs w:val="32"/>
        </w:rPr>
        <w:t>江永县夏层铺镇</w:t>
      </w:r>
      <w:r>
        <w:rPr>
          <w:rFonts w:hint="eastAsia" w:ascii="仿宋_GB2312" w:hAnsi="仿宋_GB2312" w:eastAsia="仿宋_GB2312" w:cs="仿宋_GB2312"/>
          <w:spacing w:val="-17"/>
          <w:sz w:val="32"/>
          <w:szCs w:val="32"/>
          <w:lang w:eastAsia="zh-CN"/>
        </w:rPr>
        <w:t>冷水铺中心幼儿园</w:t>
      </w:r>
    </w:p>
    <w:p w14:paraId="105CA0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</w:rPr>
      </w:pPr>
    </w:p>
    <w:p w14:paraId="0DF2CF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4" w:line="560" w:lineRule="exact"/>
        <w:ind w:left="5394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9"/>
          <w:sz w:val="32"/>
          <w:szCs w:val="32"/>
        </w:rPr>
        <w:t>2024年</w:t>
      </w:r>
      <w:r>
        <w:rPr>
          <w:rFonts w:hint="eastAsia" w:ascii="仿宋" w:hAnsi="仿宋" w:eastAsia="仿宋" w:cs="仿宋"/>
          <w:spacing w:val="19"/>
          <w:sz w:val="32"/>
          <w:szCs w:val="32"/>
          <w:lang w:val="en-US" w:eastAsia="zh-CN"/>
        </w:rPr>
        <w:t>4</w:t>
      </w:r>
      <w:r>
        <w:rPr>
          <w:rFonts w:ascii="仿宋" w:hAnsi="仿宋" w:eastAsia="仿宋" w:cs="仿宋"/>
          <w:spacing w:val="19"/>
          <w:sz w:val="32"/>
          <w:szCs w:val="32"/>
        </w:rPr>
        <w:t>月</w:t>
      </w:r>
      <w:r>
        <w:rPr>
          <w:rFonts w:hint="eastAsia" w:ascii="仿宋" w:hAnsi="仿宋" w:eastAsia="仿宋" w:cs="仿宋"/>
          <w:spacing w:val="19"/>
          <w:sz w:val="32"/>
          <w:szCs w:val="32"/>
          <w:lang w:val="en-US" w:eastAsia="zh-CN"/>
        </w:rPr>
        <w:t>17日</w:t>
      </w:r>
    </w:p>
    <w:p w14:paraId="2B832E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jc w:val="both"/>
        <w:textAlignment w:val="baseline"/>
        <w:rPr>
          <w:rFonts w:ascii="黑体" w:hAnsi="黑体" w:eastAsia="黑体" w:cs="黑体"/>
          <w:sz w:val="21"/>
          <w:szCs w:val="21"/>
        </w:rPr>
      </w:pPr>
    </w:p>
    <w:p w14:paraId="118E442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jc w:val="both"/>
        <w:textAlignment w:val="baseline"/>
        <w:rPr>
          <w:rFonts w:ascii="黑体" w:hAnsi="黑体" w:eastAsia="黑体" w:cs="黑体"/>
          <w:sz w:val="21"/>
          <w:szCs w:val="21"/>
        </w:rPr>
      </w:pPr>
    </w:p>
    <w:p w14:paraId="5BB7F8A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jc w:val="both"/>
        <w:textAlignment w:val="baseline"/>
        <w:rPr>
          <w:rFonts w:ascii="黑体" w:hAnsi="黑体" w:eastAsia="黑体" w:cs="黑体"/>
          <w:sz w:val="21"/>
          <w:szCs w:val="21"/>
        </w:rPr>
      </w:pPr>
    </w:p>
    <w:p w14:paraId="1996B4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jc w:val="both"/>
        <w:textAlignment w:val="baseline"/>
        <w:rPr>
          <w:rFonts w:ascii="黑体" w:hAnsi="黑体" w:eastAsia="黑体" w:cs="黑体"/>
          <w:sz w:val="21"/>
          <w:szCs w:val="21"/>
        </w:rPr>
      </w:pPr>
    </w:p>
    <w:p w14:paraId="04D413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jc w:val="both"/>
        <w:textAlignment w:val="baseline"/>
        <w:rPr>
          <w:rFonts w:ascii="黑体" w:hAnsi="黑体" w:eastAsia="黑体" w:cs="黑体"/>
          <w:sz w:val="21"/>
          <w:szCs w:val="21"/>
        </w:rPr>
      </w:pPr>
    </w:p>
    <w:p w14:paraId="01CB93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jc w:val="both"/>
        <w:textAlignment w:val="baseline"/>
        <w:rPr>
          <w:rFonts w:ascii="黑体" w:hAnsi="黑体" w:eastAsia="黑体" w:cs="黑体"/>
          <w:sz w:val="21"/>
          <w:szCs w:val="21"/>
        </w:rPr>
      </w:pPr>
    </w:p>
    <w:p w14:paraId="001854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jc w:val="both"/>
        <w:textAlignment w:val="baseline"/>
        <w:rPr>
          <w:rFonts w:ascii="黑体" w:hAnsi="黑体" w:eastAsia="黑体" w:cs="黑体"/>
          <w:sz w:val="21"/>
          <w:szCs w:val="21"/>
        </w:rPr>
      </w:pPr>
    </w:p>
    <w:p w14:paraId="64620B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jc w:val="both"/>
        <w:textAlignment w:val="baseline"/>
        <w:rPr>
          <w:rFonts w:ascii="黑体" w:hAnsi="黑体" w:eastAsia="黑体" w:cs="黑体"/>
          <w:sz w:val="21"/>
          <w:szCs w:val="21"/>
        </w:rPr>
      </w:pPr>
    </w:p>
    <w:p w14:paraId="0F81CC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jc w:val="both"/>
        <w:textAlignment w:val="baseline"/>
        <w:rPr>
          <w:rFonts w:ascii="黑体" w:hAnsi="黑体" w:eastAsia="黑体" w:cs="黑体"/>
          <w:sz w:val="21"/>
          <w:szCs w:val="21"/>
        </w:rPr>
      </w:pPr>
    </w:p>
    <w:p w14:paraId="440EBCF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jc w:val="both"/>
        <w:textAlignment w:val="baseline"/>
        <w:rPr>
          <w:rFonts w:ascii="黑体" w:hAnsi="黑体" w:eastAsia="黑体" w:cs="黑体"/>
          <w:sz w:val="21"/>
          <w:szCs w:val="21"/>
        </w:rPr>
      </w:pPr>
    </w:p>
    <w:p w14:paraId="236714B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jc w:val="both"/>
        <w:textAlignment w:val="baseline"/>
        <w:rPr>
          <w:rFonts w:ascii="黑体" w:hAnsi="黑体" w:eastAsia="黑体" w:cs="黑体"/>
          <w:sz w:val="21"/>
          <w:szCs w:val="21"/>
        </w:rPr>
      </w:pPr>
    </w:p>
    <w:p w14:paraId="39743A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jc w:val="both"/>
        <w:textAlignment w:val="baseline"/>
        <w:rPr>
          <w:rFonts w:ascii="黑体" w:hAnsi="黑体" w:eastAsia="黑体" w:cs="黑体"/>
          <w:sz w:val="21"/>
          <w:szCs w:val="21"/>
        </w:rPr>
      </w:pPr>
    </w:p>
    <w:p w14:paraId="32BBC7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jc w:val="both"/>
        <w:textAlignment w:val="baseline"/>
        <w:rPr>
          <w:rFonts w:ascii="黑体" w:hAnsi="黑体" w:eastAsia="黑体" w:cs="黑体"/>
          <w:sz w:val="21"/>
          <w:szCs w:val="21"/>
        </w:rPr>
      </w:pPr>
    </w:p>
    <w:p w14:paraId="642FE1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jc w:val="both"/>
        <w:textAlignment w:val="baseline"/>
        <w:rPr>
          <w:rFonts w:ascii="黑体" w:hAnsi="黑体" w:eastAsia="黑体" w:cs="黑体"/>
          <w:sz w:val="21"/>
          <w:szCs w:val="21"/>
        </w:rPr>
      </w:pPr>
    </w:p>
    <w:p w14:paraId="77BA26FB">
      <w:pPr>
        <w:tabs>
          <w:tab w:val="left" w:pos="5965"/>
        </w:tabs>
        <w:bidi w:val="0"/>
        <w:jc w:val="left"/>
        <w:rPr>
          <w:rFonts w:hint="eastAsia"/>
          <w:lang w:val="en-US" w:eastAsia="zh-CN"/>
        </w:rPr>
      </w:pPr>
      <w:bookmarkStart w:id="0" w:name="_GoBack"/>
      <w:bookmarkEnd w:id="0"/>
    </w:p>
    <w:sectPr>
      <w:footerReference r:id="rId5" w:type="default"/>
      <w:pgSz w:w="11900" w:h="16840"/>
      <w:pgMar w:top="689" w:right="30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8F0EDF">
    <w:pPr>
      <w:pStyle w:val="2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jYwZmNlNDRiYzFiZGFiNzhhMDc0ZmM4NjRjZDI4YTgifQ=="/>
  </w:docVars>
  <w:rsids>
    <w:rsidRoot w:val="00000000"/>
    <w:rsid w:val="092F1E23"/>
    <w:rsid w:val="0BC419DA"/>
    <w:rsid w:val="18972950"/>
    <w:rsid w:val="2BD31A99"/>
    <w:rsid w:val="2E3A3CA9"/>
    <w:rsid w:val="2E81431C"/>
    <w:rsid w:val="40DD795C"/>
    <w:rsid w:val="47057C7C"/>
    <w:rsid w:val="49B127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">
    <w:name w:val="font121"/>
    <w:basedOn w:val="4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7">
    <w:name w:val="font112"/>
    <w:basedOn w:val="4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7426</Words>
  <Characters>8000</Characters>
  <TotalTime>7</TotalTime>
  <ScaleCrop>false</ScaleCrop>
  <LinksUpToDate>false</LinksUpToDate>
  <CharactersWithSpaces>8415</CharactersWithSpaces>
  <Application>WPS Office_12.1.0.17857_F1E327BC-269C-435d-A152-05C5408002CA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2024-04-17T10:18:00Z</dcterms:created>
  <dc:creator>Administrator</dc:creator>
  <cp:lastModifiedBy>Sunshine</cp:lastModifiedBy>
  <cp:lastPrinted>2024-04-21T08:39:00Z</cp:lastPrinted>
  <dcterms:modified xsi:type="dcterms:W3CDTF">2024-10-09T01:53:20Z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2024-04-17T10:18:51Z</vt:filetime>
  </property>
  <property fmtid="{D5CDD505-2E9C-101B-9397-08002B2CF9AE}" pid="4" name="UsrData">
    <vt:lpwstr>661f31874e9286001fb79357wl</vt:lpwstr>
  </property>
  <property fmtid="{D5CDD505-2E9C-101B-9397-08002B2CF9AE}" pid="5" name="KSOProductBuildVer">
    <vt:lpwstr>2052-12.1.0.17857</vt:lpwstr>
  </property>
  <property fmtid="{D5CDD505-2E9C-101B-9397-08002B2CF9AE}" pid="6" name="ICV">
    <vt:lpwstr>1DE10AED129E43438370B509FCD867A9_13</vt:lpwstr>
  </property>
</Properties>
</file>